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仿宋_GB2312" w:hAnsi="仿宋_GB2312" w:eastAsia="仿宋_GB2312" w:cs="仿宋_GB2312"/>
          <w:sz w:val="32"/>
          <w:szCs w:val="32"/>
        </w:rPr>
      </w:pPr>
      <w:r>
        <w:rPr>
          <w:rFonts w:hint="eastAsia" w:ascii="黑体" w:hAnsi="黑体" w:eastAsia="黑体" w:cs="黑体"/>
          <w:sz w:val="32"/>
          <w:szCs w:val="32"/>
        </w:rPr>
        <w:t>附件1</w:t>
      </w:r>
      <w:r>
        <w:rPr>
          <w:rFonts w:hint="eastAsia" w:ascii="仿宋_GB2312" w:hAnsi="仿宋_GB2312" w:eastAsia="仿宋_GB2312" w:cs="仿宋_GB2312"/>
          <w:sz w:val="32"/>
          <w:szCs w:val="32"/>
        </w:rPr>
        <w:t>：</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濮阳工业园区人力资源局</w:t>
      </w:r>
    </w:p>
    <w:p>
      <w:pPr>
        <w:jc w:val="center"/>
        <w:rPr>
          <w:rFonts w:ascii="黑体" w:hAnsi="黑体" w:eastAsia="黑体" w:cs="黑体"/>
          <w:sz w:val="52"/>
          <w:szCs w:val="52"/>
        </w:rPr>
      </w:pPr>
      <w:r>
        <w:rPr>
          <w:rFonts w:hint="eastAsia" w:ascii="黑体" w:hAnsi="黑体" w:eastAsia="黑体" w:cs="黑体"/>
          <w:sz w:val="52"/>
          <w:szCs w:val="52"/>
        </w:rPr>
        <w:t>2018年度部门预算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adjustRightInd w:val="0"/>
        <w:snapToGrid w:val="0"/>
        <w:spacing w:line="360" w:lineRule="auto"/>
        <w:jc w:val="center"/>
        <w:rPr>
          <w:rFonts w:ascii="方正小标宋简体" w:hAnsi="方正小标宋简体" w:eastAsia="方正小标宋简体" w:cs="方正小标宋简体"/>
          <w:sz w:val="44"/>
          <w:szCs w:val="44"/>
        </w:rPr>
      </w:pPr>
    </w:p>
    <w:p>
      <w:pPr>
        <w:adjustRightInd w:val="0"/>
        <w:snapToGrid w:val="0"/>
        <w:spacing w:line="360" w:lineRule="auto"/>
        <w:rPr>
          <w:rFonts w:ascii="方正小标宋简体" w:hAnsi="方正小标宋简体" w:eastAsia="方正小标宋简体" w:cs="方正小标宋简体"/>
          <w:sz w:val="44"/>
          <w:szCs w:val="44"/>
        </w:rPr>
      </w:pPr>
    </w:p>
    <w:p>
      <w:pPr>
        <w:kinsoku w:val="0"/>
        <w:overflowPunct w:val="0"/>
        <w:adjustRightInd w:val="0"/>
        <w:snapToGrid w:val="0"/>
        <w:spacing w:line="360" w:lineRule="auto"/>
        <w:ind w:left="101" w:right="3569" w:firstLine="624" w:firstLineChars="200"/>
        <w:rPr>
          <w:rFonts w:ascii="仿宋_GB2312" w:hAnsi="仿宋_GB2312" w:eastAsia="仿宋_GB2312" w:cs="仿宋_GB2312"/>
          <w:sz w:val="32"/>
          <w:szCs w:val="32"/>
        </w:rPr>
      </w:pPr>
    </w:p>
    <w:p>
      <w:pPr>
        <w:kinsoku w:val="0"/>
        <w:overflowPunct w:val="0"/>
        <w:adjustRightInd w:val="0"/>
        <w:snapToGrid w:val="0"/>
        <w:spacing w:line="360" w:lineRule="auto"/>
        <w:ind w:left="-142" w:right="51" w:firstLine="30" w:firstLineChars="7"/>
        <w:jc w:val="center"/>
        <w:rPr>
          <w:rFonts w:ascii="黑体" w:hAnsi="黑体" w:eastAsia="黑体" w:cs="仿宋_GB2312"/>
          <w:sz w:val="44"/>
          <w:szCs w:val="44"/>
        </w:rPr>
      </w:pPr>
      <w:r>
        <w:rPr>
          <w:rFonts w:hint="eastAsia" w:ascii="黑体" w:hAnsi="黑体" w:eastAsia="黑体" w:cs="仿宋_GB2312"/>
          <w:sz w:val="44"/>
          <w:szCs w:val="44"/>
        </w:rPr>
        <w:t>目</w:t>
      </w:r>
      <w:r>
        <w:rPr>
          <w:rFonts w:hint="eastAsia" w:ascii="黑体" w:hAnsi="黑体" w:eastAsia="黑体" w:cs="仿宋_GB2312"/>
          <w:spacing w:val="2"/>
          <w:sz w:val="44"/>
          <w:szCs w:val="44"/>
        </w:rPr>
        <w:t xml:space="preserve"> </w:t>
      </w:r>
      <w:r>
        <w:rPr>
          <w:rFonts w:hint="eastAsia" w:ascii="黑体" w:hAnsi="黑体" w:eastAsia="黑体" w:cs="仿宋_GB2312"/>
          <w:sz w:val="44"/>
          <w:szCs w:val="44"/>
        </w:rPr>
        <w:t>录</w:t>
      </w:r>
    </w:p>
    <w:p>
      <w:pPr>
        <w:kinsoku w:val="0"/>
        <w:overflowPunct w:val="0"/>
        <w:adjustRightInd w:val="0"/>
        <w:snapToGrid w:val="0"/>
        <w:spacing w:line="360" w:lineRule="auto"/>
        <w:ind w:right="3569" w:firstLine="624" w:firstLineChars="200"/>
        <w:rPr>
          <w:rFonts w:cs="仿宋_GB2312" w:asciiTheme="majorEastAsia" w:hAnsiTheme="majorEastAsia" w:eastAsiaTheme="majorEastAsia"/>
          <w:b/>
          <w:w w:val="99"/>
          <w:sz w:val="32"/>
          <w:szCs w:val="32"/>
        </w:rPr>
      </w:pPr>
      <w:r>
        <w:rPr>
          <w:rFonts w:hint="eastAsia" w:cs="仿宋_GB2312" w:asciiTheme="majorEastAsia" w:hAnsiTheme="majorEastAsia" w:eastAsiaTheme="majorEastAsia"/>
          <w:b/>
          <w:bCs/>
          <w:sz w:val="32"/>
          <w:szCs w:val="32"/>
        </w:rPr>
        <w:t>第一部分  概况</w:t>
      </w:r>
      <w:r>
        <w:rPr>
          <w:rFonts w:hint="eastAsia" w:cs="仿宋_GB2312" w:asciiTheme="majorEastAsia" w:hAnsiTheme="majorEastAsia" w:eastAsiaTheme="majorEastAsia"/>
          <w:b/>
          <w:w w:val="99"/>
          <w:sz w:val="32"/>
          <w:szCs w:val="32"/>
        </w:rPr>
        <w:t xml:space="preserve"> </w:t>
      </w:r>
    </w:p>
    <w:p>
      <w:pPr>
        <w:kinsoku w:val="0"/>
        <w:overflowPunct w:val="0"/>
        <w:adjustRightInd w:val="0"/>
        <w:snapToGrid w:val="0"/>
        <w:spacing w:line="360" w:lineRule="auto"/>
        <w:ind w:right="3569" w:firstLine="936"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kinsoku w:val="0"/>
        <w:overflowPunct w:val="0"/>
        <w:adjustRightInd w:val="0"/>
        <w:snapToGrid w:val="0"/>
        <w:spacing w:line="360" w:lineRule="auto"/>
        <w:ind w:right="3569" w:firstLine="936"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kinsoku w:val="0"/>
        <w:overflowPunct w:val="0"/>
        <w:adjustRightInd w:val="0"/>
        <w:snapToGrid w:val="0"/>
        <w:spacing w:line="360" w:lineRule="auto"/>
        <w:ind w:right="521" w:firstLine="624" w:firstLineChars="200"/>
        <w:rPr>
          <w:rFonts w:cs="仿宋_GB2312" w:asciiTheme="majorEastAsia" w:hAnsiTheme="majorEastAsia" w:eastAsiaTheme="majorEastAsia"/>
          <w:b/>
          <w:bCs/>
          <w:sz w:val="32"/>
          <w:szCs w:val="32"/>
        </w:rPr>
      </w:pPr>
      <w:r>
        <w:rPr>
          <w:rFonts w:hint="eastAsia" w:cs="仿宋_GB2312" w:asciiTheme="majorEastAsia" w:hAnsiTheme="majorEastAsia" w:eastAsiaTheme="majorEastAsia"/>
          <w:b/>
          <w:bCs/>
          <w:sz w:val="32"/>
          <w:szCs w:val="32"/>
        </w:rPr>
        <w:t>第二部门 2018年部门预算情况说明</w:t>
      </w:r>
    </w:p>
    <w:p>
      <w:pPr>
        <w:kinsoku w:val="0"/>
        <w:overflowPunct w:val="0"/>
        <w:adjustRightInd w:val="0"/>
        <w:snapToGrid w:val="0"/>
        <w:spacing w:line="360" w:lineRule="auto"/>
        <w:ind w:right="521" w:firstLine="624" w:firstLineChars="200"/>
        <w:rPr>
          <w:rFonts w:cs="仿宋_GB2312" w:asciiTheme="majorEastAsia" w:hAnsiTheme="majorEastAsia" w:eastAsiaTheme="majorEastAsia"/>
          <w:b/>
          <w:bCs/>
          <w:sz w:val="32"/>
          <w:szCs w:val="32"/>
        </w:rPr>
      </w:pPr>
      <w:r>
        <w:rPr>
          <w:rFonts w:hint="eastAsia" w:cs="仿宋_GB2312" w:asciiTheme="majorEastAsia" w:hAnsiTheme="majorEastAsia" w:eastAsiaTheme="majorEastAsia"/>
          <w:b/>
          <w:bCs/>
          <w:sz w:val="32"/>
          <w:szCs w:val="32"/>
        </w:rPr>
        <w:t>第三部分 名词解释</w:t>
      </w:r>
    </w:p>
    <w:p>
      <w:pPr>
        <w:kinsoku w:val="0"/>
        <w:overflowPunct w:val="0"/>
        <w:adjustRightInd w:val="0"/>
        <w:snapToGrid w:val="0"/>
        <w:spacing w:line="360" w:lineRule="auto"/>
        <w:ind w:right="521" w:firstLine="624" w:firstLineChars="200"/>
        <w:rPr>
          <w:rFonts w:cs="仿宋_GB2312" w:asciiTheme="majorEastAsia" w:hAnsiTheme="majorEastAsia" w:eastAsiaTheme="majorEastAsia"/>
          <w:b/>
          <w:bCs/>
          <w:sz w:val="32"/>
          <w:szCs w:val="32"/>
        </w:rPr>
      </w:pPr>
    </w:p>
    <w:p>
      <w:pPr>
        <w:kinsoku w:val="0"/>
        <w:overflowPunct w:val="0"/>
        <w:adjustRightInd w:val="0"/>
        <w:snapToGrid w:val="0"/>
        <w:spacing w:line="360" w:lineRule="auto"/>
        <w:ind w:firstLine="624" w:firstLineChars="200"/>
        <w:rPr>
          <w:rFonts w:ascii="黑体" w:hAnsi="Times New Roman" w:eastAsia="黑体" w:cs="黑体"/>
          <w:sz w:val="32"/>
          <w:szCs w:val="32"/>
        </w:rPr>
      </w:pPr>
      <w:r>
        <w:rPr>
          <w:rFonts w:hint="eastAsia" w:ascii="黑体" w:hAnsi="Times New Roman" w:eastAsia="黑体" w:cs="黑体"/>
          <w:sz w:val="32"/>
          <w:szCs w:val="32"/>
        </w:rPr>
        <w:t>附件：2018</w:t>
      </w:r>
      <w:r>
        <w:rPr>
          <w:rFonts w:ascii="黑体" w:hAnsi="Times New Roman" w:eastAsia="黑体" w:cs="黑体"/>
          <w:spacing w:val="-116"/>
          <w:sz w:val="32"/>
          <w:szCs w:val="32"/>
        </w:rPr>
        <w:t xml:space="preserve"> </w:t>
      </w:r>
      <w:r>
        <w:rPr>
          <w:rFonts w:hint="eastAsia" w:ascii="黑体" w:hAnsi="Times New Roman" w:eastAsia="黑体" w:cs="黑体"/>
          <w:sz w:val="32"/>
          <w:szCs w:val="32"/>
        </w:rPr>
        <w:t>年度部门预算表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一、</w:t>
      </w:r>
      <w:r>
        <w:rPr>
          <w:rFonts w:hint="eastAsia" w:ascii="仿宋_GB2312" w:eastAsia="仿宋_GB2312"/>
          <w:sz w:val="32"/>
          <w:szCs w:val="32"/>
        </w:rPr>
        <w:t>财政拨款收支总表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二、</w:t>
      </w:r>
      <w:r>
        <w:rPr>
          <w:rFonts w:hint="eastAsia" w:ascii="仿宋_GB2312" w:eastAsia="仿宋_GB2312"/>
          <w:sz w:val="32"/>
          <w:szCs w:val="32"/>
        </w:rPr>
        <w:t>一般公共预算支出表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三、</w:t>
      </w:r>
      <w:r>
        <w:rPr>
          <w:rFonts w:hint="eastAsia" w:ascii="仿宋_GB2312" w:eastAsia="仿宋_GB2312"/>
          <w:sz w:val="32"/>
          <w:szCs w:val="32"/>
        </w:rPr>
        <w:t>一般公共预算基本支出经济分类表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四、</w:t>
      </w:r>
      <w:r>
        <w:rPr>
          <w:rFonts w:hint="eastAsia" w:ascii="仿宋_GB2312" w:eastAsia="仿宋_GB2312"/>
          <w:sz w:val="32"/>
          <w:szCs w:val="32"/>
        </w:rPr>
        <w:t>一般公共预算“三公”经费支出表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五、</w:t>
      </w:r>
      <w:r>
        <w:rPr>
          <w:rFonts w:hint="eastAsia" w:ascii="仿宋_GB2312" w:eastAsia="仿宋_GB2312"/>
          <w:sz w:val="32"/>
          <w:szCs w:val="32"/>
        </w:rPr>
        <w:t>政府性基金预算支出表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六、</w:t>
      </w:r>
      <w:r>
        <w:rPr>
          <w:rFonts w:hint="eastAsia" w:ascii="仿宋_GB2312" w:eastAsia="仿宋_GB2312"/>
          <w:sz w:val="32"/>
          <w:szCs w:val="32"/>
        </w:rPr>
        <w:t>部门收支总表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七、</w:t>
      </w:r>
      <w:r>
        <w:rPr>
          <w:rFonts w:hint="eastAsia" w:ascii="仿宋_GB2312" w:eastAsia="仿宋_GB2312"/>
          <w:sz w:val="32"/>
          <w:szCs w:val="32"/>
        </w:rPr>
        <w:t>部门收入总表</w:t>
      </w:r>
    </w:p>
    <w:p>
      <w:pPr>
        <w:tabs>
          <w:tab w:val="left" w:pos="5025"/>
        </w:tabs>
        <w:kinsoku w:val="0"/>
        <w:overflowPunct w:val="0"/>
        <w:adjustRightInd w:val="0"/>
        <w:snapToGrid w:val="0"/>
        <w:spacing w:line="360" w:lineRule="auto"/>
        <w:ind w:right="51" w:firstLine="936" w:firstLineChars="300"/>
        <w:jc w:val="left"/>
        <w:rPr>
          <w:rFonts w:ascii="仿宋_GB2312" w:hAnsi="仿宋_GB2312" w:eastAsia="仿宋_GB2312" w:cs="仿宋_GB2312"/>
          <w:sz w:val="32"/>
          <w:szCs w:val="32"/>
        </w:rPr>
      </w:pPr>
      <w:r>
        <w:rPr>
          <w:rFonts w:hint="eastAsia" w:ascii="仿宋_GB2312" w:hAnsi="Times New Roman" w:eastAsia="仿宋_GB2312" w:cs="仿宋_GB2312"/>
          <w:sz w:val="32"/>
          <w:szCs w:val="32"/>
        </w:rPr>
        <w:t>八、</w:t>
      </w:r>
      <w:r>
        <w:rPr>
          <w:rFonts w:hint="eastAsia" w:ascii="仿宋_GB2312" w:eastAsia="仿宋_GB2312"/>
          <w:sz w:val="32"/>
          <w:szCs w:val="32"/>
        </w:rPr>
        <w:t>部门支出总表</w:t>
      </w:r>
    </w:p>
    <w:p>
      <w:pPr>
        <w:adjustRightInd w:val="0"/>
        <w:snapToGrid w:val="0"/>
        <w:spacing w:line="360" w:lineRule="auto"/>
        <w:rPr>
          <w:rFonts w:ascii="仿宋_GB2312" w:hAnsi="仿宋_GB2312" w:eastAsia="仿宋_GB2312" w:cs="仿宋_GB2312"/>
          <w:b/>
          <w:bCs/>
          <w:sz w:val="32"/>
          <w:szCs w:val="32"/>
        </w:rPr>
      </w:pPr>
    </w:p>
    <w:p>
      <w:pPr>
        <w:adjustRightInd w:val="0"/>
        <w:snapToGrid w:val="0"/>
        <w:spacing w:line="360" w:lineRule="auto"/>
        <w:rPr>
          <w:rFonts w:ascii="仿宋_GB2312" w:hAnsi="仿宋_GB2312" w:eastAsia="仿宋_GB2312" w:cs="仿宋_GB2312"/>
          <w:b/>
          <w:bCs/>
          <w:sz w:val="32"/>
          <w:szCs w:val="32"/>
        </w:rPr>
      </w:pPr>
    </w:p>
    <w:p>
      <w:pPr>
        <w:adjustRightInd w:val="0"/>
        <w:snapToGrid w:val="0"/>
        <w:spacing w:line="360" w:lineRule="auto"/>
        <w:rPr>
          <w:rFonts w:ascii="仿宋_GB2312" w:hAnsi="仿宋_GB2312" w:eastAsia="仿宋_GB2312" w:cs="仿宋_GB2312"/>
          <w:b/>
          <w:bCs/>
          <w:sz w:val="32"/>
          <w:szCs w:val="32"/>
        </w:rPr>
      </w:pPr>
    </w:p>
    <w:p>
      <w:pPr>
        <w:adjustRightInd w:val="0"/>
        <w:snapToGrid w:val="0"/>
        <w:spacing w:line="360" w:lineRule="auto"/>
        <w:rPr>
          <w:rFonts w:ascii="仿宋_GB2312" w:hAnsi="仿宋_GB2312" w:eastAsia="仿宋_GB2312" w:cs="仿宋_GB2312"/>
          <w:b/>
          <w:bCs/>
          <w:sz w:val="32"/>
          <w:szCs w:val="32"/>
        </w:rPr>
      </w:pPr>
    </w:p>
    <w:p>
      <w:pPr>
        <w:adjustRightInd w:val="0"/>
        <w:snapToGrid w:val="0"/>
        <w:spacing w:line="590" w:lineRule="exact"/>
        <w:jc w:val="center"/>
        <w:rPr>
          <w:rFonts w:ascii="方正小标宋简体" w:hAnsi="仿宋_GB2312" w:eastAsia="方正小标宋简体" w:cs="仿宋_GB2312"/>
          <w:b/>
          <w:bCs/>
          <w:sz w:val="44"/>
          <w:szCs w:val="44"/>
        </w:rPr>
      </w:pPr>
      <w:r>
        <w:rPr>
          <w:rFonts w:hint="eastAsia" w:ascii="方正小标宋简体" w:hAnsi="仿宋_GB2312" w:eastAsia="方正小标宋简体" w:cs="仿宋_GB2312"/>
          <w:b/>
          <w:bCs/>
          <w:sz w:val="44"/>
          <w:szCs w:val="44"/>
        </w:rPr>
        <w:t>第一部分</w:t>
      </w:r>
    </w:p>
    <w:p>
      <w:pPr>
        <w:adjustRightInd w:val="0"/>
        <w:snapToGrid w:val="0"/>
        <w:spacing w:line="590" w:lineRule="exact"/>
        <w:jc w:val="center"/>
        <w:rPr>
          <w:rFonts w:ascii="楷体" w:hAnsi="楷体" w:eastAsia="楷体" w:cs="仿宋_GB2312"/>
          <w:sz w:val="32"/>
          <w:szCs w:val="32"/>
        </w:rPr>
      </w:pPr>
      <w:r>
        <w:rPr>
          <w:rFonts w:hint="eastAsia" w:ascii="楷体" w:hAnsi="楷体" w:eastAsia="楷体" w:cs="仿宋_GB2312"/>
          <w:bCs/>
          <w:sz w:val="32"/>
          <w:szCs w:val="32"/>
          <w:lang w:eastAsia="zh-CN"/>
        </w:rPr>
        <w:t>工业园区人力资源局</w:t>
      </w:r>
      <w:r>
        <w:rPr>
          <w:rFonts w:hint="eastAsia" w:ascii="楷体" w:hAnsi="楷体" w:eastAsia="楷体" w:cs="仿宋_GB2312"/>
          <w:bCs/>
          <w:sz w:val="32"/>
          <w:szCs w:val="32"/>
        </w:rPr>
        <w:t>概况</w:t>
      </w:r>
    </w:p>
    <w:p>
      <w:pPr>
        <w:adjustRightInd w:val="0"/>
        <w:snapToGrid w:val="0"/>
        <w:spacing w:line="590" w:lineRule="exact"/>
        <w:ind w:firstLine="624" w:firstLineChars="200"/>
        <w:jc w:val="center"/>
        <w:rPr>
          <w:rFonts w:ascii="仿宋_GB2312" w:hAnsi="仿宋_GB2312" w:eastAsia="仿宋_GB2312" w:cs="仿宋_GB2312"/>
          <w:sz w:val="32"/>
          <w:szCs w:val="32"/>
        </w:rPr>
      </w:pPr>
    </w:p>
    <w:p>
      <w:pPr>
        <w:numPr>
          <w:ilvl w:val="0"/>
          <w:numId w:val="1"/>
        </w:numPr>
        <w:adjustRightInd w:val="0"/>
        <w:snapToGrid w:val="0"/>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主要职责：</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1、贯彻执行党中央国务院和市委市政府关于党的建设、干部队伍建设、机构编制、人事人才等方针政策；根据上级要求和党工委管委会部署，研究制定并组织落实相应政策制度和工作规划；</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2、指导、协调和宏观管理党工委管委会和直管区相关单位基层党组织建设以及领导班子思想、组织、作风、制度建设，指导、协调和检查管委会和直管区相关单位党组织建设、党员发展与管理工作，做好党费收缴、管理、使用等工作；</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3、根据干部管理权限，做好党工委管委会机关和区直单位领导班子、干部队伍和后备干部队伍建设工作，提出培养、选拔、调配、任免的建议意见。根据授权，协助管理园区市管领导班子和领导干部；通过法定程序，承担对所监管企业领导人员的考察考核工作并提出任免等建议意见；</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4、负责党工委管委会机关、事业单位及直管区相关单位机构编制的统一管理，协调职能配置并对机构设置、人员编制、领导职数等提出建议意见；协助做好事业单位法人登记和年检工作；</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5、负责园区机关人员的档案管理工作；</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6、负责党工委管委会机关、事业单位及直管区相关单位的人事管理工作；承办考试考核、录用聘用、教育培训、职务晋升、考工定级以及因公出国出境审查等工作；负责工资津补贴核算统发；</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7、劳动就业、劳动监察、劳动合同鉴证和劳动争议仲裁；</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8、全区劳动力市场、人才市场管理及社会保障事业的各项管理工作；</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9、负责农民工和企业工人的劳动就业技能培训工作；</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10、负责老干部和离退休人员的管理工作；</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11、协调园区人才资源规划、开发和管理，研究制定优秀人才培养、引进、使用、考核和激励等政策措施；指导相关单位做好人力资源开发和引才引智工作；</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fill="FFFFFF"/>
          <w:lang w:val="en-US" w:eastAsia="zh-CN" w:bidi="ar"/>
        </w:rPr>
        <w:t>12、完成园区党工委管委会交办的其他事项。</w:t>
      </w:r>
    </w:p>
    <w:p>
      <w:pPr>
        <w:kinsoku w:val="0"/>
        <w:overflowPunct w:val="0"/>
        <w:adjustRightInd w:val="0"/>
        <w:snapToGrid w:val="0"/>
        <w:spacing w:line="240" w:lineRule="auto"/>
        <w:ind w:right="0" w:firstLine="0" w:firstLineChars="0"/>
        <w:jc w:val="left"/>
        <w:outlineLvl w:val="0"/>
        <w:rPr>
          <w:rFonts w:ascii="黑体" w:hAnsi="黑体" w:eastAsia="黑体" w:cs="仿宋_GB2312"/>
          <w:sz w:val="32"/>
          <w:szCs w:val="32"/>
        </w:rPr>
      </w:pPr>
      <w:r>
        <w:rPr>
          <w:rFonts w:hint="eastAsia" w:ascii="黑体" w:hAnsi="黑体" w:eastAsia="黑体" w:cs="仿宋_GB2312"/>
          <w:sz w:val="32"/>
          <w:szCs w:val="32"/>
        </w:rPr>
        <w:t>二、预算单位构成</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Times New Roman" w:hAnsi="Times New Roman" w:cs="Times New Roman"/>
          <w:i w:val="0"/>
          <w:caps w:val="0"/>
          <w:color w:val="000000"/>
          <w:spacing w:val="0"/>
          <w:sz w:val="21"/>
          <w:szCs w:val="21"/>
        </w:rPr>
      </w:pPr>
      <w:r>
        <w:rPr>
          <w:rFonts w:ascii="仿宋_GB2312" w:hAnsi="Times New Roman" w:eastAsia="仿宋_GB2312" w:cs="仿宋_GB2312"/>
          <w:i w:val="0"/>
          <w:caps w:val="0"/>
          <w:color w:val="000000"/>
          <w:spacing w:val="0"/>
          <w:kern w:val="0"/>
          <w:sz w:val="32"/>
          <w:szCs w:val="32"/>
          <w:shd w:val="clear" w:fill="FFFFFF"/>
          <w:lang w:val="en-US" w:eastAsia="zh-CN" w:bidi="ar"/>
        </w:rPr>
        <w:t>园区组织人社局现有职工13人，在编4人，政府购岗9人，下设组织工作办公室、人事工作办公室。</w:t>
      </w:r>
    </w:p>
    <w:p>
      <w:pPr>
        <w:widowControl/>
        <w:shd w:val="clear" w:color="auto" w:fill="FFFFFF"/>
        <w:spacing w:line="590" w:lineRule="exact"/>
        <w:ind w:firstLine="3438" w:firstLineChars="1102"/>
        <w:jc w:val="left"/>
        <w:rPr>
          <w:rFonts w:ascii="仿宋_GB2312" w:hAnsi="仿宋_GB2312" w:eastAsia="仿宋_GB2312" w:cs="仿宋_GB2312"/>
          <w:sz w:val="32"/>
          <w:szCs w:val="32"/>
        </w:rPr>
      </w:pPr>
    </w:p>
    <w:p>
      <w:pPr>
        <w:widowControl/>
        <w:shd w:val="clear" w:color="auto" w:fill="FFFFFF"/>
        <w:spacing w:line="590" w:lineRule="exact"/>
        <w:jc w:val="center"/>
        <w:rPr>
          <w:rFonts w:ascii="方正小标宋简体" w:hAnsi="仿宋_GB2312" w:eastAsia="方正小标宋简体" w:cs="仿宋_GB2312"/>
          <w:b/>
          <w:bCs/>
          <w:sz w:val="44"/>
          <w:szCs w:val="44"/>
        </w:rPr>
      </w:pPr>
      <w:r>
        <w:rPr>
          <w:rFonts w:hint="eastAsia" w:ascii="方正小标宋简体" w:hAnsi="仿宋_GB2312" w:eastAsia="方正小标宋简体" w:cs="仿宋_GB2312"/>
          <w:b/>
          <w:bCs/>
          <w:sz w:val="44"/>
          <w:szCs w:val="44"/>
        </w:rPr>
        <w:t>第二部分</w:t>
      </w:r>
    </w:p>
    <w:p>
      <w:pPr>
        <w:widowControl/>
        <w:shd w:val="clear" w:color="auto" w:fill="FFFFFF"/>
        <w:spacing w:line="590" w:lineRule="exact"/>
        <w:jc w:val="center"/>
        <w:rPr>
          <w:rFonts w:ascii="楷体" w:hAnsi="楷体" w:eastAsia="楷体" w:cs="仿宋_GB2312"/>
          <w:bCs/>
          <w:sz w:val="32"/>
          <w:szCs w:val="32"/>
        </w:rPr>
      </w:pPr>
      <w:r>
        <w:rPr>
          <w:rFonts w:hint="eastAsia" w:ascii="楷体" w:hAnsi="楷体" w:eastAsia="楷体" w:cs="仿宋_GB2312"/>
          <w:bCs/>
          <w:sz w:val="32"/>
          <w:szCs w:val="32"/>
          <w:lang w:eastAsia="zh-CN"/>
        </w:rPr>
        <w:t>工业园区人力资源局</w:t>
      </w:r>
      <w:r>
        <w:rPr>
          <w:rFonts w:hint="eastAsia" w:ascii="楷体" w:hAnsi="楷体" w:eastAsia="楷体" w:cs="仿宋_GB2312"/>
          <w:bCs/>
          <w:sz w:val="32"/>
          <w:szCs w:val="32"/>
        </w:rPr>
        <w:t>2018年度部门预算情况说明</w:t>
      </w:r>
    </w:p>
    <w:p>
      <w:pPr>
        <w:adjustRightInd w:val="0"/>
        <w:snapToGrid w:val="0"/>
        <w:spacing w:line="590" w:lineRule="exact"/>
        <w:ind w:firstLine="624" w:firstLineChars="200"/>
        <w:outlineLvl w:val="0"/>
        <w:rPr>
          <w:rFonts w:ascii="仿宋_GB2312" w:hAnsi="仿宋_GB2312" w:eastAsia="仿宋_GB2312" w:cs="仿宋_GB2312"/>
          <w:sz w:val="32"/>
          <w:szCs w:val="32"/>
        </w:rPr>
      </w:pPr>
    </w:p>
    <w:p>
      <w:pPr>
        <w:adjustRightInd w:val="0"/>
        <w:snapToGrid w:val="0"/>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sz w:val="32"/>
          <w:szCs w:val="32"/>
        </w:rPr>
        <w:t>一、收入支出预算总体情况说明</w:t>
      </w:r>
    </w:p>
    <w:p>
      <w:pPr>
        <w:adjustRightInd w:val="0"/>
        <w:snapToGrid w:val="0"/>
        <w:spacing w:line="590" w:lineRule="exact"/>
        <w:ind w:firstLine="624" w:firstLineChars="200"/>
        <w:rPr>
          <w:rFonts w:ascii="Arial" w:hAnsi="Arial" w:eastAsia="仿宋_GB2312" w:cs="Arial"/>
          <w:sz w:val="32"/>
          <w:szCs w:val="32"/>
        </w:rPr>
      </w:pPr>
      <w:r>
        <w:rPr>
          <w:rFonts w:hint="eastAsia" w:ascii="仿宋_GB2312" w:hAnsi="仿宋_GB2312" w:eastAsia="仿宋_GB2312" w:cs="仿宋_GB2312"/>
          <w:sz w:val="32"/>
          <w:szCs w:val="32"/>
          <w:lang w:eastAsia="zh-CN"/>
        </w:rPr>
        <w:t>工业园区人力资源局</w:t>
      </w:r>
      <w:r>
        <w:rPr>
          <w:rFonts w:hint="eastAsia" w:ascii="仿宋_GB2312" w:hAnsi="仿宋_GB2312" w:eastAsia="仿宋_GB2312" w:cs="仿宋_GB2312"/>
          <w:sz w:val="32"/>
          <w:szCs w:val="32"/>
        </w:rPr>
        <w:t>2018年收入</w:t>
      </w:r>
      <w:r>
        <w:rPr>
          <w:rFonts w:hint="eastAsia" w:ascii="Arial" w:hAnsi="Arial" w:eastAsia="仿宋_GB2312" w:cs="Arial"/>
          <w:sz w:val="32"/>
          <w:szCs w:val="32"/>
          <w:lang w:val="en-US" w:eastAsia="zh-CN"/>
        </w:rPr>
        <w:t>327.8</w:t>
      </w:r>
      <w:r>
        <w:rPr>
          <w:rFonts w:hint="eastAsia" w:ascii="仿宋_GB2312" w:hAnsi="仿宋_GB2312" w:eastAsia="仿宋_GB2312" w:cs="仿宋_GB2312"/>
          <w:sz w:val="32"/>
          <w:szCs w:val="32"/>
        </w:rPr>
        <w:t>万元，支出总计</w:t>
      </w:r>
      <w:r>
        <w:rPr>
          <w:rFonts w:hint="eastAsia" w:ascii="Arial" w:hAnsi="Arial" w:eastAsia="仿宋_GB2312" w:cs="Arial"/>
          <w:sz w:val="32"/>
          <w:szCs w:val="32"/>
          <w:lang w:val="en-US" w:eastAsia="zh-CN"/>
        </w:rPr>
        <w:t>327.8</w:t>
      </w:r>
      <w:r>
        <w:rPr>
          <w:rFonts w:hint="eastAsia" w:ascii="仿宋_GB2312" w:hAnsi="仿宋_GB2312" w:eastAsia="仿宋_GB2312" w:cs="仿宋_GB2312"/>
          <w:sz w:val="32"/>
          <w:szCs w:val="32"/>
        </w:rPr>
        <w:t>万元</w:t>
      </w:r>
      <w:r>
        <w:rPr>
          <w:rFonts w:hint="eastAsia" w:ascii="Arial" w:hAnsi="Arial" w:eastAsia="仿宋_GB2312" w:cs="Arial"/>
          <w:sz w:val="32"/>
          <w:szCs w:val="32"/>
        </w:rPr>
        <w:t xml:space="preserve">。  </w:t>
      </w:r>
    </w:p>
    <w:p>
      <w:pPr>
        <w:adjustRightInd w:val="0"/>
        <w:snapToGrid w:val="0"/>
        <w:spacing w:line="590" w:lineRule="exact"/>
        <w:ind w:firstLine="624" w:firstLineChars="200"/>
        <w:rPr>
          <w:rFonts w:ascii="黑体" w:hAnsi="黑体" w:eastAsia="黑体" w:cs="仿宋_GB2312"/>
          <w:sz w:val="32"/>
          <w:szCs w:val="32"/>
        </w:rPr>
      </w:pPr>
      <w:r>
        <w:rPr>
          <w:rFonts w:hint="eastAsia" w:ascii="黑体" w:hAnsi="黑体" w:eastAsia="黑体" w:cs="仿宋_GB2312"/>
          <w:sz w:val="32"/>
          <w:szCs w:val="32"/>
        </w:rPr>
        <w:t>二、收入预算总体情况说明</w:t>
      </w:r>
    </w:p>
    <w:p>
      <w:pPr>
        <w:widowControl/>
        <w:shd w:val="clear" w:color="auto" w:fill="FFFFFF"/>
        <w:spacing w:line="590" w:lineRule="exact"/>
        <w:ind w:firstLine="640"/>
        <w:jc w:val="left"/>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eastAsia="zh-CN"/>
        </w:rPr>
        <w:t>工业园区人力资源局</w:t>
      </w:r>
      <w:r>
        <w:rPr>
          <w:rFonts w:hint="eastAsia" w:ascii="仿宋_GB2312" w:hAnsi="仿宋_GB2312" w:eastAsia="仿宋_GB2312" w:cs="仿宋_GB2312"/>
          <w:sz w:val="32"/>
          <w:szCs w:val="32"/>
        </w:rPr>
        <w:t>2018年收入合计</w:t>
      </w:r>
      <w:r>
        <w:rPr>
          <w:rFonts w:hint="eastAsia" w:ascii="Arial" w:hAnsi="Arial" w:eastAsia="仿宋_GB2312" w:cs="Arial"/>
          <w:sz w:val="32"/>
          <w:szCs w:val="32"/>
          <w:lang w:val="en-US" w:eastAsia="zh-CN"/>
        </w:rPr>
        <w:t>327.8</w:t>
      </w:r>
      <w:r>
        <w:rPr>
          <w:rFonts w:hint="eastAsia" w:ascii="仿宋_GB2312" w:hAnsi="仿宋_GB2312" w:eastAsia="仿宋_GB2312" w:cs="仿宋_GB2312"/>
          <w:sz w:val="32"/>
          <w:szCs w:val="32"/>
        </w:rPr>
        <w:t>万元，其中：一般公共预算收入</w:t>
      </w:r>
      <w:r>
        <w:rPr>
          <w:rFonts w:hint="eastAsia" w:ascii="Arial" w:hAnsi="Arial" w:eastAsia="仿宋_GB2312" w:cs="Arial"/>
          <w:sz w:val="32"/>
          <w:szCs w:val="32"/>
          <w:lang w:val="en-US" w:eastAsia="zh-CN"/>
        </w:rPr>
        <w:t>327.8</w:t>
      </w:r>
      <w:r>
        <w:rPr>
          <w:rFonts w:hint="eastAsia" w:ascii="仿宋_GB2312" w:hAnsi="仿宋_GB2312" w:eastAsia="仿宋_GB2312" w:cs="仿宋_GB2312"/>
          <w:sz w:val="32"/>
          <w:szCs w:val="32"/>
        </w:rPr>
        <w:t>万元; 政府性基金预算收入</w:t>
      </w:r>
      <w:r>
        <w:rPr>
          <w:rFonts w:hint="eastAsia" w:ascii="Arial" w:hAnsi="Arial" w:eastAsia="仿宋_GB2312" w:cs="Arial"/>
          <w:sz w:val="32"/>
          <w:szCs w:val="32"/>
          <w:lang w:val="en-US" w:eastAsia="zh-CN"/>
        </w:rPr>
        <w:t>0</w:t>
      </w:r>
      <w:r>
        <w:rPr>
          <w:rFonts w:hint="eastAsia" w:ascii="仿宋_GB2312" w:hAnsi="仿宋_GB2312" w:eastAsia="仿宋_GB2312" w:cs="仿宋_GB2312"/>
          <w:sz w:val="32"/>
          <w:szCs w:val="32"/>
        </w:rPr>
        <w:t>万元；国有资本经营预算收入</w:t>
      </w:r>
      <w:r>
        <w:rPr>
          <w:rFonts w:hint="eastAsia" w:ascii="Arial" w:hAnsi="Arial" w:eastAsia="仿宋_GB2312" w:cs="Arial"/>
          <w:sz w:val="32"/>
          <w:szCs w:val="32"/>
          <w:lang w:val="en-US" w:eastAsia="zh-CN"/>
        </w:rPr>
        <w:t>0</w:t>
      </w:r>
      <w:r>
        <w:rPr>
          <w:rFonts w:hint="eastAsia" w:ascii="Arial" w:hAnsi="Arial" w:eastAsia="仿宋_GB2312" w:cs="Arial"/>
          <w:sz w:val="32"/>
          <w:szCs w:val="32"/>
        </w:rPr>
        <w:t>万元；其他收入</w:t>
      </w:r>
      <w:r>
        <w:rPr>
          <w:rFonts w:hint="eastAsia" w:ascii="Arial" w:hAnsi="Arial" w:eastAsia="仿宋_GB2312" w:cs="Arial"/>
          <w:sz w:val="32"/>
          <w:szCs w:val="32"/>
          <w:lang w:val="en-US" w:eastAsia="zh-CN"/>
        </w:rPr>
        <w:t>0</w:t>
      </w:r>
      <w:r>
        <w:rPr>
          <w:rFonts w:hint="eastAsia" w:ascii="Arial" w:hAnsi="Arial" w:eastAsia="仿宋_GB2312" w:cs="Arial"/>
          <w:sz w:val="32"/>
          <w:szCs w:val="32"/>
        </w:rPr>
        <w:t>万元。</w:t>
      </w:r>
      <w:r>
        <w:rPr>
          <w:rFonts w:hint="eastAsia" w:ascii="仿宋_GB2312" w:hAnsi="仿宋_GB2312" w:eastAsia="仿宋_GB2312" w:cs="仿宋_GB2312"/>
          <w:color w:val="FF0000"/>
          <w:sz w:val="32"/>
          <w:szCs w:val="32"/>
        </w:rPr>
        <w:t xml:space="preserve"> </w:t>
      </w:r>
    </w:p>
    <w:p>
      <w:pPr>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sz w:val="32"/>
          <w:szCs w:val="32"/>
        </w:rPr>
        <w:t>三、支出预算总体情况说明</w:t>
      </w:r>
    </w:p>
    <w:p>
      <w:pPr>
        <w:spacing w:line="590" w:lineRule="exact"/>
        <w:ind w:firstLine="624"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2018年支出合计</w:t>
      </w:r>
      <w:r>
        <w:rPr>
          <w:rFonts w:hint="eastAsia" w:ascii="Arial" w:hAnsi="Arial" w:eastAsia="仿宋_GB2312" w:cs="Arial"/>
          <w:sz w:val="32"/>
          <w:szCs w:val="32"/>
          <w:lang w:val="en-US" w:eastAsia="zh-CN"/>
        </w:rPr>
        <w:t>327.8</w:t>
      </w:r>
      <w:r>
        <w:rPr>
          <w:rFonts w:hint="eastAsia" w:ascii="仿宋_GB2312" w:hAnsi="仿宋_GB2312" w:eastAsia="仿宋_GB2312" w:cs="仿宋_GB2312"/>
          <w:sz w:val="32"/>
          <w:szCs w:val="32"/>
        </w:rPr>
        <w:t>万元，其中：基本支出</w:t>
      </w:r>
      <w:r>
        <w:rPr>
          <w:rFonts w:hint="eastAsia" w:ascii="Arial" w:hAnsi="Arial" w:eastAsia="仿宋_GB2312" w:cs="Arial"/>
          <w:sz w:val="32"/>
          <w:szCs w:val="32"/>
          <w:lang w:val="en-US" w:eastAsia="zh-CN"/>
        </w:rPr>
        <w:t>107.8</w:t>
      </w:r>
      <w:r>
        <w:rPr>
          <w:rFonts w:hint="eastAsia" w:ascii="仿宋_GB2312" w:hAnsi="仿宋_GB2312" w:eastAsia="仿宋_GB2312" w:cs="仿宋_GB2312"/>
          <w:sz w:val="32"/>
          <w:szCs w:val="32"/>
        </w:rPr>
        <w:t>万元，占</w:t>
      </w:r>
      <w:r>
        <w:rPr>
          <w:rFonts w:hint="eastAsia" w:ascii="Arial" w:hAnsi="Arial" w:eastAsia="仿宋_GB2312" w:cs="Arial"/>
          <w:sz w:val="32"/>
          <w:szCs w:val="32"/>
          <w:lang w:val="en-US" w:eastAsia="zh-CN"/>
        </w:rPr>
        <w:t>32.89</w:t>
      </w:r>
      <w:r>
        <w:rPr>
          <w:rFonts w:hint="eastAsia" w:ascii="Arial" w:hAnsi="Arial" w:eastAsia="仿宋_GB2312" w:cs="Arial"/>
          <w:sz w:val="32"/>
          <w:szCs w:val="32"/>
        </w:rPr>
        <w:t>%</w:t>
      </w:r>
      <w:r>
        <w:rPr>
          <w:rFonts w:hint="eastAsia" w:ascii="仿宋_GB2312" w:hAnsi="仿宋_GB2312" w:eastAsia="仿宋_GB2312" w:cs="仿宋_GB2312"/>
          <w:sz w:val="32"/>
          <w:szCs w:val="32"/>
        </w:rPr>
        <w:t>；项目支出</w:t>
      </w:r>
      <w:r>
        <w:rPr>
          <w:rFonts w:hint="eastAsia" w:ascii="Arial" w:hAnsi="Arial" w:eastAsia="仿宋_GB2312" w:cs="Arial"/>
          <w:sz w:val="32"/>
          <w:szCs w:val="32"/>
          <w:lang w:val="en-US" w:eastAsia="zh-CN"/>
        </w:rPr>
        <w:t>220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67.11</w:t>
      </w:r>
      <w:r>
        <w:rPr>
          <w:rFonts w:hint="eastAsia" w:ascii="仿宋_GB2312" w:hAnsi="仿宋_GB2312" w:eastAsia="仿宋_GB2312" w:cs="仿宋_GB2312"/>
          <w:sz w:val="32"/>
          <w:szCs w:val="32"/>
        </w:rPr>
        <w:t>占%。</w:t>
      </w:r>
      <w:r>
        <w:rPr>
          <w:rFonts w:hint="eastAsia" w:ascii="仿宋_GB2312" w:hAnsi="仿宋_GB2312" w:eastAsia="仿宋_GB2312" w:cs="仿宋_GB2312"/>
          <w:color w:val="FF0000"/>
          <w:sz w:val="32"/>
          <w:szCs w:val="32"/>
        </w:rPr>
        <w:t xml:space="preserve"> </w:t>
      </w:r>
    </w:p>
    <w:p>
      <w:pPr>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sz w:val="32"/>
          <w:szCs w:val="32"/>
        </w:rPr>
        <w:t>四、财政拨款收入支出预算总体情况说明</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2018年一般公共预算收支预算</w:t>
      </w:r>
      <w:r>
        <w:rPr>
          <w:rFonts w:hint="eastAsia" w:ascii="Arial" w:hAnsi="Arial" w:eastAsia="仿宋_GB2312" w:cs="Arial"/>
          <w:sz w:val="32"/>
          <w:szCs w:val="32"/>
          <w:lang w:val="en-US" w:eastAsia="zh-CN"/>
        </w:rPr>
        <w:t>327.8</w:t>
      </w:r>
      <w:r>
        <w:rPr>
          <w:rFonts w:hint="eastAsia" w:ascii="仿宋_GB2312" w:hAnsi="仿宋_GB2312" w:eastAsia="仿宋_GB2312" w:cs="仿宋_GB2312"/>
          <w:sz w:val="32"/>
          <w:szCs w:val="32"/>
        </w:rPr>
        <w:t>万元。政府性基金收支预算</w:t>
      </w:r>
      <w:r>
        <w:rPr>
          <w:rFonts w:hint="eastAsia" w:ascii="Arial" w:hAnsi="Arial" w:eastAsia="仿宋_GB2312" w:cs="Arial"/>
          <w:sz w:val="32"/>
          <w:szCs w:val="32"/>
          <w:lang w:val="en-US" w:eastAsia="zh-CN"/>
        </w:rPr>
        <w:t>0</w:t>
      </w:r>
      <w:r>
        <w:rPr>
          <w:rFonts w:hint="eastAsia" w:ascii="Arial" w:hAnsi="Arial" w:eastAsia="仿宋_GB2312" w:cs="Arial"/>
          <w:sz w:val="32"/>
          <w:szCs w:val="32"/>
        </w:rPr>
        <w:t>万元。</w:t>
      </w:r>
    </w:p>
    <w:p>
      <w:pPr>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sz w:val="32"/>
          <w:szCs w:val="32"/>
        </w:rPr>
        <w:t>五、一般公共预算支出预算情况说明</w:t>
      </w:r>
    </w:p>
    <w:p>
      <w:pPr>
        <w:widowControl/>
        <w:spacing w:line="590" w:lineRule="exact"/>
        <w:ind w:firstLine="622"/>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rPr>
        <w:t>2018年一般公共预算支出年初预算为</w:t>
      </w:r>
      <w:r>
        <w:rPr>
          <w:rFonts w:hint="eastAsia" w:ascii="Arial" w:hAnsi="Arial" w:eastAsia="仿宋_GB2312" w:cs="Arial"/>
          <w:sz w:val="32"/>
          <w:szCs w:val="32"/>
          <w:lang w:val="en-US" w:eastAsia="zh-CN"/>
        </w:rPr>
        <w:t>327.8</w:t>
      </w:r>
      <w:r>
        <w:rPr>
          <w:rFonts w:hint="eastAsia" w:ascii="仿宋_GB2312" w:hAnsi="仿宋_GB2312" w:eastAsia="仿宋_GB2312" w:cs="仿宋_GB2312"/>
          <w:sz w:val="32"/>
          <w:szCs w:val="32"/>
        </w:rPr>
        <w:t>万元。用于以下方面：</w:t>
      </w:r>
      <w:r>
        <w:rPr>
          <w:rFonts w:hint="eastAsia" w:ascii="仿宋_GB2312" w:hAnsi="仿宋_GB2312" w:eastAsia="仿宋_GB2312" w:cs="仿宋_GB2312"/>
          <w:kern w:val="0"/>
          <w:sz w:val="32"/>
          <w:szCs w:val="32"/>
          <w:lang w:eastAsia="zh-CN"/>
        </w:rPr>
        <w:t>社会保障和就业支出</w:t>
      </w:r>
      <w:r>
        <w:rPr>
          <w:rFonts w:hint="eastAsia" w:ascii="仿宋_GB2312" w:hAnsi="仿宋_GB2312" w:eastAsia="仿宋_GB2312" w:cs="仿宋_GB2312"/>
          <w:kern w:val="0"/>
          <w:sz w:val="32"/>
          <w:szCs w:val="32"/>
          <w:lang w:val="en-US" w:eastAsia="zh-CN"/>
        </w:rPr>
        <w:t>217.8</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66.44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；医疗卫生与计划生育支出</w:t>
      </w:r>
      <w:r>
        <w:rPr>
          <w:rFonts w:hint="eastAsia" w:ascii="仿宋_GB2312" w:hAnsi="仿宋_GB2312" w:eastAsia="仿宋_GB2312" w:cs="仿宋_GB2312"/>
          <w:kern w:val="0"/>
          <w:sz w:val="32"/>
          <w:szCs w:val="32"/>
          <w:lang w:val="en-US" w:eastAsia="zh-CN"/>
        </w:rPr>
        <w:t>110万元，占33.56%。</w:t>
      </w:r>
    </w:p>
    <w:p>
      <w:pPr>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kern w:val="0"/>
          <w:sz w:val="32"/>
          <w:szCs w:val="32"/>
        </w:rPr>
        <w:t>六、一般公共预算基本支出预算情况说明</w:t>
      </w:r>
    </w:p>
    <w:p>
      <w:pPr>
        <w:widowControl/>
        <w:spacing w:line="590" w:lineRule="exact"/>
        <w:ind w:firstLine="622"/>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sz w:val="32"/>
          <w:szCs w:val="32"/>
        </w:rPr>
        <w:t>2018年一般公共预算基本支出</w:t>
      </w:r>
      <w:r>
        <w:rPr>
          <w:rFonts w:hint="eastAsia" w:ascii="仿宋_GB2312" w:hAnsi="仿宋_GB2312" w:eastAsia="仿宋_GB2312" w:cs="仿宋_GB2312"/>
          <w:kern w:val="0"/>
          <w:sz w:val="32"/>
          <w:szCs w:val="32"/>
          <w:lang w:val="en-US" w:eastAsia="zh-CN"/>
        </w:rPr>
        <w:t>107.8</w:t>
      </w:r>
      <w:r>
        <w:rPr>
          <w:rFonts w:hint="eastAsia" w:ascii="仿宋_GB2312" w:hAnsi="仿宋_GB2312" w:eastAsia="仿宋_GB2312" w:cs="仿宋_GB2312"/>
          <w:sz w:val="32"/>
          <w:szCs w:val="32"/>
        </w:rPr>
        <w:t>万元，其中：</w:t>
      </w:r>
      <w:r>
        <w:rPr>
          <w:rFonts w:hint="eastAsia" w:ascii="仿宋_GB2312" w:hAnsi="仿宋_GB2312" w:eastAsia="仿宋_GB2312" w:cs="仿宋_GB2312"/>
          <w:b/>
          <w:spacing w:val="-1"/>
          <w:kern w:val="0"/>
          <w:sz w:val="32"/>
          <w:szCs w:val="32"/>
        </w:rPr>
        <w:t>人员经费</w:t>
      </w:r>
      <w:r>
        <w:rPr>
          <w:rFonts w:hint="eastAsia" w:ascii="仿宋_GB2312" w:hAnsi="仿宋_GB2312" w:eastAsia="仿宋_GB2312" w:cs="仿宋_GB2312"/>
          <w:b/>
          <w:kern w:val="0"/>
          <w:sz w:val="32"/>
          <w:szCs w:val="32"/>
          <w:lang w:val="en-US" w:eastAsia="zh-CN"/>
        </w:rPr>
        <w:t>0</w:t>
      </w:r>
      <w:r>
        <w:rPr>
          <w:rFonts w:hint="eastAsia" w:ascii="仿宋_GB2312" w:hAnsi="仿宋_GB2312" w:eastAsia="仿宋_GB2312" w:cs="仿宋_GB2312"/>
          <w:b/>
          <w:sz w:val="32"/>
          <w:szCs w:val="32"/>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原因是，工业园区所有类型人员由园区人力资源局同意管理，工资统一核算，没有将工资核算分配到各单位。</w:t>
      </w:r>
      <w:r>
        <w:rPr>
          <w:rFonts w:hint="eastAsia" w:ascii="仿宋_GB2312" w:hAnsi="仿宋_GB2312" w:eastAsia="仿宋_GB2312" w:cs="仿宋_GB2312"/>
          <w:b/>
          <w:bCs/>
          <w:kern w:val="0"/>
          <w:sz w:val="32"/>
          <w:szCs w:val="32"/>
        </w:rPr>
        <w:t>公用经费</w:t>
      </w:r>
      <w:r>
        <w:rPr>
          <w:rFonts w:hint="eastAsia" w:ascii="仿宋_GB2312" w:hAnsi="仿宋_GB2312" w:eastAsia="仿宋_GB2312" w:cs="仿宋_GB2312"/>
          <w:b/>
          <w:bCs/>
          <w:kern w:val="0"/>
          <w:sz w:val="32"/>
          <w:szCs w:val="32"/>
          <w:lang w:val="en-US" w:eastAsia="zh-CN"/>
        </w:rPr>
        <w:t>107.8</w:t>
      </w:r>
      <w:r>
        <w:rPr>
          <w:rFonts w:hint="eastAsia" w:ascii="仿宋_GB2312" w:hAnsi="仿宋_GB2312" w:eastAsia="仿宋_GB2312" w:cs="仿宋_GB2312"/>
          <w:b/>
          <w:bCs/>
          <w:kern w:val="0"/>
          <w:sz w:val="32"/>
          <w:szCs w:val="32"/>
        </w:rPr>
        <w:t>万元</w:t>
      </w:r>
      <w:r>
        <w:rPr>
          <w:rFonts w:hint="eastAsia" w:ascii="仿宋_GB2312" w:hAnsi="仿宋_GB2312" w:eastAsia="仿宋_GB2312" w:cs="仿宋_GB2312"/>
          <w:kern w:val="0"/>
          <w:sz w:val="32"/>
          <w:szCs w:val="32"/>
        </w:rPr>
        <w:t>，主要包括：办公费、印刷费、咨询费、手续费、水费、电费、邮电费、取暖费、物业管理费、差旅费、因公出国（境）费、维修（护）费、租赁费、会议费、培训费、公务接待费、专用材料费、专用燃料费、劳务费、委托业务费、福利费、公务用车运行维护费、其他交通费用、税金及附加费用、其他商品和服务支出、债务利息、办公设备购置、专用设备购置、基础设施建设、大型修缮、信息网络及软件购置更新、公务用车购置、其他资本性支出和其他支出。</w:t>
      </w:r>
    </w:p>
    <w:p>
      <w:pPr>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kern w:val="0"/>
          <w:sz w:val="32"/>
          <w:szCs w:val="32"/>
        </w:rPr>
        <w:t>七、政府性基金预算支出预算情况说明</w:t>
      </w:r>
    </w:p>
    <w:p>
      <w:pPr>
        <w:spacing w:line="590" w:lineRule="exact"/>
        <w:ind w:firstLine="624"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我单位2018年没有使用政府性基金预算拨款安排的支出。</w:t>
      </w:r>
    </w:p>
    <w:p>
      <w:pPr>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kern w:val="0"/>
          <w:sz w:val="32"/>
          <w:szCs w:val="32"/>
        </w:rPr>
        <w:t>八、“三公”经费支出预算情况说明</w:t>
      </w:r>
    </w:p>
    <w:p>
      <w:pPr>
        <w:widowControl/>
        <w:spacing w:line="590" w:lineRule="exact"/>
        <w:ind w:firstLine="62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2018 年“三公”经费预算为</w:t>
      </w:r>
      <w:r>
        <w:rPr>
          <w:rFonts w:hint="eastAsia" w:ascii="仿宋_GB2312" w:hAnsi="仿宋_GB2312" w:eastAsia="仿宋_GB2312" w:cs="仿宋_GB2312"/>
          <w:kern w:val="0"/>
          <w:sz w:val="32"/>
          <w:szCs w:val="32"/>
          <w:lang w:val="en-US" w:eastAsia="zh-CN"/>
        </w:rPr>
        <w:t>9.64</w:t>
      </w:r>
      <w:r>
        <w:rPr>
          <w:rFonts w:hint="eastAsia" w:ascii="仿宋_GB2312" w:hAnsi="仿宋_GB2312" w:eastAsia="仿宋_GB2312" w:cs="仿宋_GB2312"/>
          <w:sz w:val="32"/>
          <w:szCs w:val="32"/>
        </w:rPr>
        <w:t>万元。</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具体支出情况如下：</w:t>
      </w:r>
    </w:p>
    <w:p>
      <w:pPr>
        <w:numPr>
          <w:ilvl w:val="0"/>
          <w:numId w:val="2"/>
        </w:numPr>
        <w:kinsoku w:val="0"/>
        <w:overflowPunct w:val="0"/>
        <w:autoSpaceDE w:val="0"/>
        <w:autoSpaceDN w:val="0"/>
        <w:adjustRightInd w:val="0"/>
        <w:snapToGrid w:val="0"/>
        <w:spacing w:line="59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b/>
          <w:spacing w:val="-1"/>
          <w:kern w:val="0"/>
          <w:sz w:val="32"/>
          <w:szCs w:val="32"/>
        </w:rPr>
        <w:t>因公出国（境）费</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万元。</w:t>
      </w:r>
    </w:p>
    <w:p>
      <w:pPr>
        <w:numPr>
          <w:ilvl w:val="0"/>
          <w:numId w:val="2"/>
        </w:numPr>
        <w:kinsoku w:val="0"/>
        <w:overflowPunct w:val="0"/>
        <w:autoSpaceDE w:val="0"/>
        <w:autoSpaceDN w:val="0"/>
        <w:adjustRightInd w:val="0"/>
        <w:snapToGrid w:val="0"/>
        <w:spacing w:line="59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b/>
          <w:spacing w:val="-1"/>
          <w:kern w:val="0"/>
          <w:sz w:val="32"/>
          <w:szCs w:val="32"/>
        </w:rPr>
        <w:t>公务用车购置及运行费</w:t>
      </w:r>
      <w:r>
        <w:rPr>
          <w:rFonts w:hint="eastAsia" w:ascii="仿宋_GB2312" w:hAnsi="仿宋_GB2312" w:eastAsia="仿宋_GB2312" w:cs="仿宋_GB2312"/>
          <w:kern w:val="0"/>
          <w:sz w:val="32"/>
          <w:szCs w:val="32"/>
          <w:lang w:val="en-US" w:eastAsia="zh-CN"/>
        </w:rPr>
        <w:t>9.64</w:t>
      </w:r>
      <w:r>
        <w:rPr>
          <w:rFonts w:hint="eastAsia" w:ascii="仿宋_GB2312" w:hAnsi="仿宋_GB2312" w:eastAsia="仿宋_GB2312" w:cs="仿宋_GB2312"/>
          <w:kern w:val="0"/>
          <w:sz w:val="32"/>
          <w:szCs w:val="32"/>
        </w:rPr>
        <w:t>万</w:t>
      </w:r>
      <w:r>
        <w:rPr>
          <w:rFonts w:hint="eastAsia" w:ascii="仿宋_GB2312" w:hAnsi="仿宋_GB2312" w:eastAsia="仿宋_GB2312" w:cs="仿宋_GB2312"/>
          <w:sz w:val="32"/>
          <w:szCs w:val="32"/>
        </w:rPr>
        <w:t>元。其中公务车辆购置费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eastAsia="zh-CN"/>
        </w:rPr>
        <w:t>车辆的燃油、维修等</w:t>
      </w:r>
      <w:r>
        <w:rPr>
          <w:rFonts w:hint="eastAsia" w:ascii="仿宋_GB2312" w:hAnsi="仿宋_GB2312" w:eastAsia="仿宋_GB2312" w:cs="仿宋_GB2312"/>
          <w:kern w:val="0"/>
          <w:sz w:val="32"/>
          <w:szCs w:val="32"/>
        </w:rPr>
        <w:t>。</w:t>
      </w:r>
    </w:p>
    <w:p>
      <w:pPr>
        <w:spacing w:line="590" w:lineRule="exact"/>
        <w:ind w:firstLine="620" w:firstLineChars="200"/>
        <w:outlineLvl w:val="0"/>
        <w:rPr>
          <w:rFonts w:ascii="仿宋_GB2312" w:hAnsi="仿宋_GB2312" w:eastAsia="仿宋_GB2312" w:cs="仿宋_GB2312"/>
          <w:sz w:val="32"/>
          <w:szCs w:val="32"/>
        </w:rPr>
      </w:pPr>
      <w:r>
        <w:rPr>
          <w:rFonts w:hint="eastAsia" w:ascii="仿宋_GB2312" w:hAnsi="仿宋_GB2312" w:eastAsia="仿宋_GB2312" w:cs="仿宋_GB2312"/>
          <w:b/>
          <w:spacing w:val="-1"/>
          <w:kern w:val="0"/>
          <w:sz w:val="32"/>
          <w:szCs w:val="32"/>
        </w:rPr>
        <w:t>（三）公务接待费</w:t>
      </w:r>
      <w:r>
        <w:rPr>
          <w:rFonts w:hint="eastAsia" w:ascii="仿宋_GB2312" w:hAnsi="仿宋_GB2312" w:eastAsia="仿宋_GB2312" w:cs="仿宋_GB2312"/>
          <w:kern w:val="0"/>
          <w:sz w:val="32"/>
          <w:szCs w:val="32"/>
          <w:lang w:val="en-US" w:eastAsia="zh-CN"/>
        </w:rPr>
        <w:t>0.4</w:t>
      </w:r>
      <w:r>
        <w:rPr>
          <w:rFonts w:hint="eastAsia" w:ascii="仿宋_GB2312" w:hAnsi="仿宋_GB2312" w:eastAsia="仿宋_GB2312" w:cs="仿宋_GB2312"/>
          <w:sz w:val="32"/>
          <w:szCs w:val="32"/>
        </w:rPr>
        <w:t>万元</w:t>
      </w:r>
      <w:r>
        <w:rPr>
          <w:rFonts w:hint="eastAsia" w:ascii="仿宋_GB2312" w:hAnsi="仿宋_GB2312" w:eastAsia="仿宋_GB2312" w:cs="仿宋_GB2312"/>
          <w:kern w:val="0"/>
          <w:sz w:val="32"/>
          <w:szCs w:val="32"/>
        </w:rPr>
        <w:t>。</w:t>
      </w:r>
    </w:p>
    <w:p>
      <w:pPr>
        <w:kinsoku w:val="0"/>
        <w:overflowPunct w:val="0"/>
        <w:autoSpaceDE w:val="0"/>
        <w:autoSpaceDN w:val="0"/>
        <w:adjustRightInd w:val="0"/>
        <w:snapToGrid w:val="0"/>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kern w:val="0"/>
          <w:sz w:val="32"/>
          <w:szCs w:val="32"/>
        </w:rPr>
        <w:t xml:space="preserve"> </w:t>
      </w:r>
      <w:r>
        <w:rPr>
          <w:rFonts w:hint="eastAsia" w:ascii="黑体" w:hAnsi="黑体" w:eastAsia="黑体" w:cs="仿宋_GB2312"/>
          <w:spacing w:val="-1"/>
          <w:kern w:val="0"/>
          <w:sz w:val="32"/>
          <w:szCs w:val="32"/>
        </w:rPr>
        <w:t>九、其他重要事项的情况说明</w:t>
      </w:r>
    </w:p>
    <w:p>
      <w:pPr>
        <w:kinsoku w:val="0"/>
        <w:overflowPunct w:val="0"/>
        <w:autoSpaceDE w:val="0"/>
        <w:autoSpaceDN w:val="0"/>
        <w:adjustRightInd w:val="0"/>
        <w:snapToGrid w:val="0"/>
        <w:spacing w:line="590" w:lineRule="exact"/>
        <w:ind w:firstLine="624" w:firstLineChars="200"/>
        <w:outlineLvl w:val="0"/>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（一）机关运行经费支出情况</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2018年机关运行经费支出预算</w:t>
      </w:r>
      <w:r>
        <w:rPr>
          <w:rFonts w:hint="eastAsia" w:ascii="仿宋_GB2312" w:hAnsi="仿宋_GB2312" w:eastAsia="仿宋_GB2312" w:cs="仿宋_GB2312"/>
          <w:kern w:val="0"/>
          <w:sz w:val="32"/>
          <w:szCs w:val="32"/>
          <w:lang w:val="en-US" w:eastAsia="zh-CN"/>
        </w:rPr>
        <w:t>217.8</w:t>
      </w:r>
      <w:r>
        <w:rPr>
          <w:rFonts w:hint="eastAsia" w:ascii="仿宋_GB2312" w:hAnsi="仿宋_GB2312" w:eastAsia="仿宋_GB2312" w:cs="仿宋_GB2312"/>
          <w:sz w:val="32"/>
          <w:szCs w:val="32"/>
        </w:rPr>
        <w:t>万元，主要保障机关机构正常运转及正常履职需要的办公费、水电费、物业费、维修费、差旅费等支出。</w:t>
      </w:r>
    </w:p>
    <w:p>
      <w:pPr>
        <w:kinsoku w:val="0"/>
        <w:overflowPunct w:val="0"/>
        <w:autoSpaceDE w:val="0"/>
        <w:autoSpaceDN w:val="0"/>
        <w:adjustRightInd w:val="0"/>
        <w:snapToGrid w:val="0"/>
        <w:spacing w:line="590" w:lineRule="exact"/>
        <w:ind w:firstLine="624" w:firstLineChars="200"/>
        <w:outlineLvl w:val="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（二）政府采购支出情况</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2018年政府采购预算安排</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kern w:val="0"/>
          <w:sz w:val="32"/>
          <w:szCs w:val="32"/>
        </w:rPr>
        <w:t>政府采购货物预算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万元、政府采购工程预算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万元、政府采购服务预算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kinsoku w:val="0"/>
        <w:overflowPunct w:val="0"/>
        <w:autoSpaceDE w:val="0"/>
        <w:autoSpaceDN w:val="0"/>
        <w:adjustRightInd w:val="0"/>
        <w:snapToGrid w:val="0"/>
        <w:spacing w:line="590" w:lineRule="exact"/>
        <w:ind w:firstLine="624" w:firstLineChars="200"/>
        <w:outlineLvl w:val="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（三）关于预算绩效管理工作开展情况说明</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我单位</w:t>
      </w:r>
      <w:r>
        <w:rPr>
          <w:rFonts w:hint="eastAsia" w:ascii="仿宋_GB2312" w:hAnsi="仿宋_GB2312" w:eastAsia="仿宋_GB2312" w:cs="仿宋_GB2312"/>
          <w:color w:val="auto"/>
          <w:sz w:val="32"/>
          <w:szCs w:val="32"/>
          <w:lang w:eastAsia="zh-CN"/>
        </w:rPr>
        <w:t>由于体制不健全，暂未开展预算绩效管理工作，暂合并入市本级管理</w:t>
      </w:r>
      <w:r>
        <w:rPr>
          <w:rFonts w:hint="eastAsia" w:ascii="仿宋_GB2312" w:hAnsi="仿宋_GB2312" w:eastAsia="仿宋_GB2312" w:cs="仿宋_GB2312"/>
          <w:color w:val="auto"/>
          <w:sz w:val="32"/>
          <w:szCs w:val="32"/>
        </w:rPr>
        <w:t xml:space="preserve">。 </w:t>
      </w:r>
    </w:p>
    <w:p>
      <w:pPr>
        <w:spacing w:line="590" w:lineRule="exact"/>
        <w:ind w:left="404" w:left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（四）国有资产占用情况</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2017年期末</w:t>
      </w:r>
      <w:r>
        <w:rPr>
          <w:rFonts w:hint="eastAsia" w:ascii="仿宋_GB2312" w:hAnsi="仿宋_GB2312" w:eastAsia="仿宋_GB2312" w:cs="仿宋_GB2312"/>
          <w:kern w:val="0"/>
          <w:sz w:val="32"/>
          <w:szCs w:val="32"/>
          <w:lang w:eastAsia="zh-CN"/>
        </w:rPr>
        <w:t>工业园区财政局</w:t>
      </w:r>
      <w:r>
        <w:rPr>
          <w:rFonts w:hint="eastAsia" w:ascii="仿宋_GB2312" w:hAnsi="仿宋_GB2312" w:eastAsia="仿宋_GB2312" w:cs="仿宋_GB2312"/>
          <w:kern w:val="0"/>
          <w:sz w:val="32"/>
          <w:szCs w:val="32"/>
        </w:rPr>
        <w:t>固定资产总额</w:t>
      </w:r>
      <w:r>
        <w:rPr>
          <w:rFonts w:hint="eastAsia" w:ascii="仿宋_GB2312" w:hAnsi="仿宋_GB2312" w:eastAsia="仿宋_GB2312" w:cs="仿宋_GB2312"/>
          <w:color w:val="auto"/>
          <w:kern w:val="0"/>
          <w:sz w:val="32"/>
          <w:szCs w:val="32"/>
          <w:lang w:val="en-US" w:eastAsia="zh-CN"/>
        </w:rPr>
        <w:t>3.66</w:t>
      </w:r>
      <w:r>
        <w:rPr>
          <w:rFonts w:hint="eastAsia" w:ascii="仿宋_GB2312" w:hAnsi="仿宋_GB2312" w:eastAsia="仿宋_GB2312" w:cs="仿宋_GB2312"/>
          <w:kern w:val="0"/>
          <w:sz w:val="32"/>
          <w:szCs w:val="32"/>
        </w:rPr>
        <w:t>万元，其中，房屋建筑物</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辆，执法执勤车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w:t>
      </w:r>
      <w:r>
        <w:rPr>
          <w:rFonts w:hint="eastAsia" w:ascii="仿宋_GB2312" w:hAnsi="仿宋_GB2312" w:eastAsia="仿宋_GB2312" w:cs="仿宋_GB2312"/>
          <w:sz w:val="32"/>
          <w:szCs w:val="32"/>
        </w:rPr>
        <w:t>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台（套）</w:t>
      </w:r>
      <w:r>
        <w:rPr>
          <w:rFonts w:hint="eastAsia" w:ascii="仿宋_GB2312" w:hAnsi="宋体" w:eastAsia="仿宋_GB2312" w:cs="仿宋_GB2312"/>
          <w:sz w:val="32"/>
          <w:szCs w:val="32"/>
        </w:rPr>
        <w:t>。</w:t>
      </w:r>
    </w:p>
    <w:p>
      <w:pPr>
        <w:widowControl/>
        <w:spacing w:line="590" w:lineRule="exact"/>
        <w:ind w:firstLine="624" w:firstLineChars="200"/>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（五）关于预算部门构成说明</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2018年我单位按照市财政预算公开要求，将所属预算单位全部纳入预算公开范围。</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kern w:val="0"/>
          <w:sz w:val="32"/>
          <w:szCs w:val="32"/>
        </w:rPr>
      </w:pP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b/>
          <w:kern w:val="0"/>
          <w:sz w:val="32"/>
          <w:szCs w:val="32"/>
        </w:rPr>
      </w:pP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b/>
          <w:kern w:val="0"/>
          <w:sz w:val="32"/>
          <w:szCs w:val="32"/>
        </w:rPr>
      </w:pP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b/>
          <w:kern w:val="0"/>
          <w:sz w:val="32"/>
          <w:szCs w:val="32"/>
        </w:rPr>
      </w:pP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b/>
          <w:kern w:val="0"/>
          <w:sz w:val="32"/>
          <w:szCs w:val="32"/>
        </w:rPr>
      </w:pP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b/>
          <w:kern w:val="0"/>
          <w:sz w:val="32"/>
          <w:szCs w:val="32"/>
        </w:rPr>
      </w:pP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b/>
          <w:kern w:val="0"/>
          <w:sz w:val="32"/>
          <w:szCs w:val="32"/>
        </w:rPr>
      </w:pPr>
    </w:p>
    <w:p>
      <w:pPr>
        <w:adjustRightInd w:val="0"/>
        <w:snapToGrid w:val="0"/>
        <w:spacing w:line="590" w:lineRule="exact"/>
        <w:jc w:val="center"/>
        <w:rPr>
          <w:rFonts w:ascii="方正小标宋简体" w:hAnsi="仿宋_GB2312" w:eastAsia="方正小标宋简体" w:cs="仿宋_GB2312"/>
          <w:sz w:val="44"/>
          <w:szCs w:val="44"/>
        </w:rPr>
      </w:pPr>
    </w:p>
    <w:p>
      <w:pPr>
        <w:adjustRightInd w:val="0"/>
        <w:snapToGrid w:val="0"/>
        <w:spacing w:line="59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第三部分 名词解释</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一、财政拨款收入：是指市级财政当年拨付的资金。</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 得的收入。</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三、其他收入：是指部门取得的除“财政拨款”、“事业收入”、“事业单位经营收入”等以外的收入。 </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五、项目支出：是指在基本支出之外，为完成特定的行政工作任务或事业发展目标所发生的支出。</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宋体" w:eastAsia="仿宋_GB2312" w:cs="Courier New"/>
          <w:sz w:val="32"/>
          <w:szCs w:val="32"/>
        </w:rPr>
        <w:t>七、机关运行经费：是指为保障行政</w:t>
      </w:r>
      <w:r>
        <w:rPr>
          <w:rFonts w:hint="eastAsia" w:ascii="仿宋_GB2312" w:hAnsi="仿宋_GB2312" w:eastAsia="仿宋_GB2312" w:cs="仿宋_GB2312"/>
          <w:sz w:val="32"/>
          <w:szCs w:val="32"/>
        </w:rPr>
        <w:t>机构正常运转及正常履职需要的办公费、水电费、日常维修、物业费、维修费、差旅费、</w:t>
      </w:r>
      <w:r>
        <w:rPr>
          <w:rFonts w:hint="eastAsia" w:ascii="仿宋_GB2312" w:hAnsi="宋体" w:eastAsia="仿宋_GB2312" w:cs="Courier New"/>
          <w:sz w:val="32"/>
          <w:szCs w:val="32"/>
        </w:rPr>
        <w:t>公务用车运行维护费以及其他费用</w:t>
      </w:r>
      <w:r>
        <w:rPr>
          <w:rFonts w:hint="eastAsia" w:ascii="仿宋_GB2312" w:hAnsi="仿宋_GB2312" w:eastAsia="仿宋_GB2312" w:cs="仿宋_GB2312"/>
          <w:sz w:val="32"/>
          <w:szCs w:val="32"/>
        </w:rPr>
        <w:t>等支出。</w:t>
      </w:r>
    </w:p>
    <w:p>
      <w:pPr>
        <w:kinsoku w:val="0"/>
        <w:overflowPunct w:val="0"/>
        <w:autoSpaceDE w:val="0"/>
        <w:autoSpaceDN w:val="0"/>
        <w:adjustRightInd w:val="0"/>
        <w:snapToGrid w:val="0"/>
        <w:spacing w:line="590" w:lineRule="exact"/>
        <w:ind w:firstLine="62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八、其他（专业性较强的需向社会做出说明的名词）</w:t>
      </w:r>
    </w:p>
    <w:p>
      <w:pPr>
        <w:kinsoku w:val="0"/>
        <w:overflowPunct w:val="0"/>
        <w:autoSpaceDE w:val="0"/>
        <w:autoSpaceDN w:val="0"/>
        <w:adjustRightInd w:val="0"/>
        <w:snapToGrid w:val="0"/>
        <w:spacing w:line="590" w:lineRule="exact"/>
        <w:ind w:firstLine="62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insoku w:val="0"/>
        <w:overflowPunct w:val="0"/>
        <w:autoSpaceDE w:val="0"/>
        <w:autoSpaceDN w:val="0"/>
        <w:adjustRightInd w:val="0"/>
        <w:snapToGrid w:val="0"/>
        <w:spacing w:line="590" w:lineRule="exact"/>
        <w:ind w:firstLine="62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附件：2018年度部门预算表</w:t>
      </w:r>
    </w:p>
    <w:p>
      <w:pPr>
        <w:adjustRightInd w:val="0"/>
        <w:snapToGrid w:val="0"/>
        <w:spacing w:line="590" w:lineRule="exact"/>
        <w:ind w:firstLine="624" w:firstLineChars="200"/>
        <w:jc w:val="left"/>
        <w:rPr>
          <w:rFonts w:ascii="仿宋_GB2312" w:hAnsi="仿宋_GB2312" w:eastAsia="仿宋_GB2312" w:cs="仿宋_GB2312"/>
          <w:sz w:val="32"/>
          <w:szCs w:val="32"/>
        </w:rPr>
      </w:pPr>
    </w:p>
    <w:p>
      <w:pPr>
        <w:adjustRightInd w:val="0"/>
        <w:snapToGrid w:val="0"/>
        <w:spacing w:line="590" w:lineRule="exact"/>
        <w:ind w:firstLine="624" w:firstLineChars="200"/>
        <w:jc w:val="left"/>
        <w:rPr>
          <w:rFonts w:ascii="仿宋_GB2312" w:hAnsi="仿宋_GB2312" w:eastAsia="仿宋_GB2312" w:cs="仿宋_GB2312"/>
          <w:sz w:val="32"/>
          <w:szCs w:val="32"/>
        </w:rPr>
      </w:pPr>
    </w:p>
    <w:p>
      <w:pPr>
        <w:adjustRightInd w:val="0"/>
        <w:snapToGrid w:val="0"/>
        <w:spacing w:line="590" w:lineRule="exact"/>
        <w:ind w:firstLine="624" w:firstLineChars="200"/>
        <w:jc w:val="left"/>
        <w:rPr>
          <w:rFonts w:ascii="仿宋_GB2312" w:hAnsi="仿宋_GB2312" w:eastAsia="仿宋_GB2312" w:cs="仿宋_GB2312"/>
        </w:rPr>
      </w:pPr>
      <w:r>
        <w:rPr>
          <w:rFonts w:hint="eastAsia" w:ascii="仿宋_GB2312" w:hAnsi="仿宋_GB2312" w:eastAsia="仿宋_GB2312" w:cs="仿宋_GB2312"/>
          <w:sz w:val="32"/>
          <w:szCs w:val="32"/>
        </w:rPr>
        <w:t xml:space="preserve">                      </w:t>
      </w:r>
      <w:bookmarkStart w:id="0" w:name="_GoBack"/>
      <w:bookmarkEnd w:id="0"/>
    </w:p>
    <w:sectPr>
      <w:pgSz w:w="11906" w:h="16838"/>
      <w:pgMar w:top="2154" w:right="1474" w:bottom="1757" w:left="1587" w:header="851" w:footer="992" w:gutter="0"/>
      <w:cols w:space="0" w:num="1"/>
      <w:docGrid w:type="linesAndChars" w:linePitch="312"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F2DAA"/>
    <w:multiLevelType w:val="singleLevel"/>
    <w:tmpl w:val="5A4F2DAA"/>
    <w:lvl w:ilvl="0" w:tentative="0">
      <w:start w:val="1"/>
      <w:numFmt w:val="chineseCounting"/>
      <w:suff w:val="nothing"/>
      <w:lvlText w:val="（%1）"/>
      <w:lvlJc w:val="left"/>
    </w:lvl>
  </w:abstractNum>
  <w:abstractNum w:abstractNumId="1">
    <w:nsid w:val="5A796DEC"/>
    <w:multiLevelType w:val="singleLevel"/>
    <w:tmpl w:val="5A796DE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D26A9"/>
    <w:rsid w:val="00010CB3"/>
    <w:rsid w:val="002D363C"/>
    <w:rsid w:val="00314E2E"/>
    <w:rsid w:val="003B6EEF"/>
    <w:rsid w:val="004004DB"/>
    <w:rsid w:val="004106B6"/>
    <w:rsid w:val="00655076"/>
    <w:rsid w:val="007B0E3C"/>
    <w:rsid w:val="008904E1"/>
    <w:rsid w:val="00917E00"/>
    <w:rsid w:val="00964446"/>
    <w:rsid w:val="00B24E91"/>
    <w:rsid w:val="00C014F8"/>
    <w:rsid w:val="00C06F25"/>
    <w:rsid w:val="00C72798"/>
    <w:rsid w:val="00C86003"/>
    <w:rsid w:val="00CF7164"/>
    <w:rsid w:val="00DC086B"/>
    <w:rsid w:val="00E20BBA"/>
    <w:rsid w:val="00E365D0"/>
    <w:rsid w:val="00EE4AB2"/>
    <w:rsid w:val="00F3603A"/>
    <w:rsid w:val="07B27637"/>
    <w:rsid w:val="089F039B"/>
    <w:rsid w:val="0A307B03"/>
    <w:rsid w:val="0BFC12C2"/>
    <w:rsid w:val="0C5C46BB"/>
    <w:rsid w:val="0FC3674C"/>
    <w:rsid w:val="1272042A"/>
    <w:rsid w:val="14E074A9"/>
    <w:rsid w:val="170A3FC4"/>
    <w:rsid w:val="17591265"/>
    <w:rsid w:val="176E014B"/>
    <w:rsid w:val="20770ABE"/>
    <w:rsid w:val="20DD26A9"/>
    <w:rsid w:val="214D34C5"/>
    <w:rsid w:val="262C0377"/>
    <w:rsid w:val="275C604C"/>
    <w:rsid w:val="2D97621C"/>
    <w:rsid w:val="39841043"/>
    <w:rsid w:val="3F7C19DA"/>
    <w:rsid w:val="40442497"/>
    <w:rsid w:val="4BC00A7C"/>
    <w:rsid w:val="4D662DC1"/>
    <w:rsid w:val="4E673B7E"/>
    <w:rsid w:val="52E0623F"/>
    <w:rsid w:val="5966555F"/>
    <w:rsid w:val="5A2B2B22"/>
    <w:rsid w:val="5C682E60"/>
    <w:rsid w:val="5FB86371"/>
    <w:rsid w:val="5FC5627C"/>
    <w:rsid w:val="67545B2D"/>
    <w:rsid w:val="6A9B6BC5"/>
    <w:rsid w:val="6E35646A"/>
    <w:rsid w:val="6EA86553"/>
    <w:rsid w:val="711E0931"/>
    <w:rsid w:val="78093E65"/>
    <w:rsid w:val="7BEB39B7"/>
    <w:rsid w:val="7DBF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Theme="minorEastAsia" w:cstheme="minorBidi"/>
      <w:kern w:val="2"/>
      <w:sz w:val="18"/>
      <w:szCs w:val="18"/>
    </w:rPr>
  </w:style>
  <w:style w:type="character" w:customStyle="1" w:styleId="7">
    <w:name w:val="页脚 Char"/>
    <w:basedOn w:val="4"/>
    <w:link w:val="2"/>
    <w:qFormat/>
    <w:uiPriority w:val="0"/>
    <w:rPr>
      <w:rFonts w:ascii="Calibri" w:hAnsi="Calibr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9</Pages>
  <Words>436</Words>
  <Characters>2487</Characters>
  <Lines>20</Lines>
  <Paragraphs>5</Paragraphs>
  <TotalTime>1</TotalTime>
  <ScaleCrop>false</ScaleCrop>
  <LinksUpToDate>false</LinksUpToDate>
  <CharactersWithSpaces>2918</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2018-01-04T09:29:00Z</dcterms:created>
  <dc:creator>Administrator</dc:creator>
  <cp:lastModifiedBy>燕飞来</cp:lastModifiedBy>
  <cp:lastPrinted>2018-08-06T00:36:00Z</cp:lastPrinted>
  <dcterms:modified xsi:type="dcterms:W3CDTF">2018-11-02T06:12:16Z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